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5D" w:rsidRDefault="006E555D" w:rsidP="006E555D">
      <w:pPr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</w:pP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(المطالعة/ الوحدة ال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رابعة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اكتشاف الأسبرين وفوائده )  2\10\2018---12\10\2018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6E555D" w:rsidTr="006E555D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6E555D" w:rsidTr="006E555D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الثامن 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>اكتشاف الأسبرين وفوائده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8حصص</w:t>
            </w:r>
          </w:p>
        </w:tc>
      </w:tr>
    </w:tbl>
    <w:p w:rsidR="006E555D" w:rsidRDefault="006E555D" w:rsidP="006E555D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6E555D" w:rsidTr="006E555D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6E555D" w:rsidTr="006E555D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      تقدير العلماء وانجازاتهم في الاكتشافات </w:t>
            </w:r>
          </w:p>
        </w:tc>
      </w:tr>
    </w:tbl>
    <w:p w:rsidR="006E555D" w:rsidRDefault="006E555D" w:rsidP="006E555D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6E555D" w:rsidTr="006E555D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6E555D" w:rsidTr="006E555D">
        <w:trPr>
          <w:trHeight w:val="1169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-القدرة على تحليل نص الاستماع "الضّحك مرآة السعادة "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تحليل مقالة " </w:t>
            </w:r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>اكتشاف الأسبرين وفوائده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تحليلاً أدبياً وفنياً.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-تذوق النص الأدبي " التربية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والامّهات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مقارنة بين الفعل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المبنيللمعلوم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والمجهول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استباط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القواعد الخاصة بكتابة الهمزة المتطرفة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-كتابة النصوص بخطي الرقعة والنسخ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-كيفية كتابة فكرة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اساسية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وتقسيماتها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فرعية </w:t>
            </w:r>
          </w:p>
        </w:tc>
      </w:tr>
    </w:tbl>
    <w:p w:rsidR="006E555D" w:rsidRDefault="006E555D" w:rsidP="006E555D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6E555D" w:rsidTr="006E555D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6E555D" w:rsidTr="006E555D">
        <w:trPr>
          <w:trHeight w:val="43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تحليل المقالة وبيان عناصرها 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الاستماع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النص والتفاعل معه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المقارنة بين المعلوم والمجهول من الأفعال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تطبيق قواعد كتابة الهمزة المتطرفة 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محاكاة خطي النسخ والرقعة 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تحليل الفكرة الأساسية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فرعية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البحث و تحليل النصوص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تنمية مهارة استماع النصوص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تحليل فقرات موضوع التعبير 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نمذجة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خطي النسخ والرقعة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حب الوطن والانتماء إليه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تقديس العمل 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 أهمية الحوار في الإقناع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تقدير العلماء </w:t>
            </w:r>
          </w:p>
        </w:tc>
      </w:tr>
    </w:tbl>
    <w:p w:rsidR="006E555D" w:rsidRDefault="006E555D" w:rsidP="006E555D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6E555D" w:rsidTr="006E555D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6E555D" w:rsidRDefault="006E555D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6E555D" w:rsidTr="006E555D">
        <w:trPr>
          <w:trHeight w:val="788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إعداد تقرير حول أحد العلماء </w:t>
            </w:r>
          </w:p>
          <w:p w:rsidR="006E555D" w:rsidRDefault="00B861C0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عمل مشجر تفصيلي بين المعلوم والمجهول </w:t>
            </w:r>
          </w:p>
          <w:p w:rsidR="006E555D" w:rsidRDefault="00B861C0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-تحليل فكرة ما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الى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اجزاء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حل أسئلة الكتاب وأسئلة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إثرائية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متابعة الطلبة الحثيثة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6E555D" w:rsidRDefault="006E555D" w:rsidP="006E555D">
      <w:pPr>
        <w:spacing w:after="0" w:line="240" w:lineRule="auto"/>
        <w:jc w:val="both"/>
        <w:rPr>
          <w:rFonts w:ascii="Simplified Arabic" w:eastAsia="Times New Roman" w:hAnsi="Simplified Arabic" w:cs="Simplified Arabic" w:hint="cs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Ind w:w="-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2389"/>
        <w:gridCol w:w="5044"/>
        <w:gridCol w:w="1486"/>
      </w:tblGrid>
      <w:tr w:rsidR="006E555D" w:rsidTr="00837CF9">
        <w:trPr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6E555D" w:rsidRDefault="006E555D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6E555D" w:rsidTr="00837CF9">
        <w:trPr>
          <w:trHeight w:val="2821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 w:rsidP="00370721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نص الاستماع</w:t>
            </w:r>
          </w:p>
          <w:p w:rsidR="006E555D" w:rsidRDefault="00B861C0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" الضحك مرآة السّعادة </w:t>
            </w:r>
            <w:r w:rsidR="006E555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 </w:t>
            </w:r>
          </w:p>
          <w:p w:rsidR="006E555D" w:rsidRDefault="006E555D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حصة واحدة</w:t>
            </w:r>
          </w:p>
          <w:p w:rsidR="006E555D" w:rsidRDefault="006E555D" w:rsidP="00B861C0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46480" w:rsidRDefault="00446480" w:rsidP="00B861C0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46480" w:rsidRDefault="00446480" w:rsidP="00B861C0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2-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تحليل مقالة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6E555D" w:rsidRDefault="00B861C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اكتشاف الأسبرين وفوائده</w:t>
            </w: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(حصتين )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*الاستماع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النص والتفاعل معه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*توضيح معاني المفردات والمصطلحات، والتراكيب ا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الاجابة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عن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النص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46480" w:rsidRDefault="00446480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46480" w:rsidRDefault="00446480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-قراءة المقالة بشكل سليم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تحليل عناصر المقالة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-توضيح الصور الفنية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-معرفة معاني المفردات الصعبة  في المقالة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 w:rsidP="00B861C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lastRenderedPageBreak/>
              <w:t xml:space="preserve">تهيئة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الطلبة للموضو</w:t>
            </w:r>
            <w:r w:rsidR="00B861C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 عبر عصف ذهني حول الضحك وعلاقته بالصحة وبيان فوائده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الالتزام بشروط الاستماع الجيد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بعد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القاء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النص على الطلبة واستماعه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اكلف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حل أسئلة النص من خلال المشاركة والحوار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46480" w:rsidRDefault="0044648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446480" w:rsidRDefault="0044648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يكون التمهيد لهذه المقالة بالتعريف بجهود العلماء للبشرية بشكل عام  ومن ثم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قراة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المقالة والبدء بتحليل عناصر المقالة مع توضيح أفكارها  والتعريج على دلالة النص بشكل مفصل من خلال حوار ونقاش الطلبة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* ملاحظة أداء الطلبة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الاستماع </w:t>
            </w:r>
          </w:p>
          <w:p w:rsidR="00837CF9" w:rsidRDefault="00837C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837CF9" w:rsidRDefault="00837C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837CF9" w:rsidRDefault="00837C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837CF9" w:rsidRDefault="00837C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التأكد من قراءة الطلبة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التاكد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 قراءة الطلبة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مشاركة وحوار الطلبة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6E555D" w:rsidTr="00837CF9">
        <w:trPr>
          <w:trHeight w:val="2459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tabs>
                <w:tab w:val="left" w:pos="-14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>3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-القواعد: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E555D" w:rsidRDefault="00B861C0">
            <w:pPr>
              <w:tabs>
                <w:tab w:val="left" w:pos="-14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الفعل المبني للمعلوم والفعل المبني للمجهول </w:t>
            </w:r>
          </w:p>
          <w:p w:rsidR="006E555D" w:rsidRDefault="006E555D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(حصتان  )</w:t>
            </w: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قراءة الأمثلة ومناقشتها.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مفهوم</w:t>
            </w:r>
            <w:r w:rsidR="00B861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الفعل</w:t>
            </w:r>
            <w:proofErr w:type="spellEnd"/>
            <w:r w:rsidR="00B861C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المبني للمجهول </w:t>
            </w:r>
          </w:p>
          <w:p w:rsidR="006E555D" w:rsidRDefault="00B861C0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بيان صياغة المبني للمجهول من الثلاثي وغير الثلاثي </w:t>
            </w:r>
          </w:p>
          <w:p w:rsidR="006E555D" w:rsidRDefault="00446480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اعرابه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:تغذية راجعة للدرس السابق  واستدعاء خبرات الطلبة حول تعريف الفعل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وانوا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عه</w:t>
            </w:r>
            <w:proofErr w:type="spellEnd"/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ومن ثم التطرق لدرس المبني للمجهول من الأفعال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يعرض أمثلة المعلم أمثلة الكتاب ويناقشها مع الطلبة دلالياً ونحوياً، ويستنتج القاعدة ويثبّتها، ويكلف الطلبة إعطاء أمث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لة تطبيقية. على المبني للمجهول والمبني للمعلوم من الأفعال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موضوع الدرس مع الطلبة، ثم توزيع ورقة العمل  وحلّها بشكل جماعي  مع الطلبة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امتحان يومي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6E555D" w:rsidRDefault="00446480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 ورقة عمل (1) على الأفعال المبنية للمجهول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6E555D" w:rsidTr="00837CF9">
        <w:trPr>
          <w:trHeight w:val="3014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4-الإملاء</w:t>
            </w:r>
          </w:p>
          <w:p w:rsidR="006E555D" w:rsidRDefault="006E555D" w:rsidP="00370721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تط</w:t>
            </w:r>
            <w:r w:rsidR="004464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بيق قواعد كتابة الهمزة المتطرفة </w:t>
            </w: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"حصة واحدة "</w:t>
            </w:r>
          </w:p>
          <w:p w:rsidR="006E555D" w:rsidRDefault="006E555D" w:rsidP="00837CF9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E555D" w:rsidRPr="00837CF9" w:rsidRDefault="00837CF9" w:rsidP="00837CF9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</w:t>
            </w:r>
            <w:r w:rsidR="00446480" w:rsidRPr="00837CF9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تعريف الهمزة المتطرفة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*التعرف 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إلى كيفية كتابة الهمزة المتطرفة وبيان قواعدها الخاصة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أناقش 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مع الطلبة موضوع الهمزة المتطرفة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 خلال المنهج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الإستقرائي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 من خلال المشاركة والحوار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والإستدلال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إلى كيفية 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التعرف على كتابة الهمزة المتطرفة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مع ذكر القواعد الخاصة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بها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وبعدها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اكلف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بكتابة عدد 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 الكلمات على الهمزة المتطرفة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pStyle w:val="a3"/>
              <w:spacing w:after="0" w:line="240" w:lineRule="auto"/>
              <w:ind w:left="99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الكتاب المقرر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ادة </w:t>
            </w:r>
            <w:proofErr w:type="spellStart"/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اثرائية</w:t>
            </w:r>
            <w:proofErr w:type="spellEnd"/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حول الهمزة المتطرفة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6E555D" w:rsidTr="00837CF9">
        <w:trPr>
          <w:trHeight w:val="1485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5-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 الخط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خطا الرقعة والنسخ </w:t>
            </w:r>
            <w:r w:rsidR="00837CF9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  <w:p w:rsidR="006E555D" w:rsidRDefault="006E555D" w:rsidP="00837C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6E555D" w:rsidRDefault="006E555D" w:rsidP="00446480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-التعبير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6E555D" w:rsidRDefault="00837CF9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"تحليل فكرة إلى </w:t>
            </w:r>
            <w:proofErr w:type="spellStart"/>
            <w:r w:rsidR="004464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افكار</w:t>
            </w:r>
            <w:proofErr w:type="spellEnd"/>
            <w:r w:rsidR="00446480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فرعية </w:t>
            </w:r>
            <w:r w:rsidR="006E555D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  <w:p w:rsidR="006E555D" w:rsidRDefault="006E555D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>" حصة واحدة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>
            <w:pPr>
              <w:spacing w:after="0" w:line="240" w:lineRule="auto"/>
              <w:ind w:left="84" w:hanging="84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الكتابة بخطي النسخ والرقعة </w:t>
            </w: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اعطاء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وضوح وجمالية لخطوط الطلبة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446480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1-توضيح مفهوم الفكرة في موضوع التعبير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2-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تحليل الفكرة </w:t>
            </w:r>
            <w:proofErr w:type="spellStart"/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الاساسية</w:t>
            </w:r>
            <w:proofErr w:type="spellEnd"/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 w:rsidP="00837CF9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تمهيد درس الخط بمراجعة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اخطاء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في الدرس السابق ثم اقرأ مع الطلبة البيت الشعري لمحاكاته بخطي النسخ والرقعة ثم أكلف الطلبة بتقليد النص من خلال مراقبة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اداء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 xml:space="preserve">أبين للطلبة 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مفهوم الفكرة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وبيان 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تقسيماتها </w:t>
            </w:r>
            <w:proofErr w:type="spellStart"/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الى</w:t>
            </w:r>
            <w:proofErr w:type="spellEnd"/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" جملة </w:t>
            </w:r>
            <w:proofErr w:type="spellStart"/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مفتاحية</w:t>
            </w:r>
            <w:proofErr w:type="spellEnd"/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وجمل داعمة وجملة ختامية  وبناء فقرة مترابطة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المراحل التي تمر فيها كتابة الفقرة قبل وبعد وأبين للطلبة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كيفية صياغة الأفكار الفرعية في الموضوع 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من خلال المشاركة والحوار ومن ثم أختم الموضوع بتكليف الطلبة بتحليل ف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كرة ما والتطبيق </w:t>
            </w:r>
            <w:r w:rsidR="00446480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عليه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5D" w:rsidRDefault="006E555D" w:rsidP="00837C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lastRenderedPageBreak/>
              <w:t xml:space="preserve">تصحيح كراسات الخط </w:t>
            </w:r>
          </w:p>
          <w:p w:rsidR="006E555D" w:rsidRDefault="006E555D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مراقبةأداء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</w:t>
            </w:r>
          </w:p>
          <w:p w:rsidR="006E555D" w:rsidRDefault="006E555D" w:rsidP="00837CF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الحوار والمناقشة </w:t>
            </w:r>
          </w:p>
          <w:p w:rsidR="006E555D" w:rsidRDefault="006E555D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تصحيح دفاتر التعبير </w:t>
            </w:r>
          </w:p>
          <w:p w:rsidR="00837CF9" w:rsidRDefault="00837CF9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837CF9" w:rsidRDefault="00837CF9" w:rsidP="00837CF9">
            <w:pPr>
              <w:spacing w:after="0" w:line="240" w:lineRule="auto"/>
              <w:contextualSpacing/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</w:pPr>
          </w:p>
          <w:p w:rsidR="006E555D" w:rsidRDefault="006E555D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</w:tbl>
    <w:p w:rsidR="00AD3806" w:rsidRDefault="00AD3806">
      <w:pPr>
        <w:rPr>
          <w:rFonts w:hint="cs"/>
        </w:rPr>
      </w:pPr>
    </w:p>
    <w:sectPr w:rsidR="00AD3806" w:rsidSect="00446480">
      <w:pgSz w:w="11906" w:h="16838"/>
      <w:pgMar w:top="28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Estrangela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52468"/>
    <w:multiLevelType w:val="hybridMultilevel"/>
    <w:tmpl w:val="F48E761A"/>
    <w:lvl w:ilvl="0" w:tplc="4754AFC0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6E555D"/>
    <w:rsid w:val="00446480"/>
    <w:rsid w:val="005A66AD"/>
    <w:rsid w:val="006E555D"/>
    <w:rsid w:val="00837CF9"/>
    <w:rsid w:val="00AD3806"/>
    <w:rsid w:val="00B86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55D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5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7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</dc:creator>
  <cp:keywords/>
  <dc:description/>
  <cp:lastModifiedBy>easy</cp:lastModifiedBy>
  <cp:revision>2</cp:revision>
  <cp:lastPrinted>2018-09-13T14:36:00Z</cp:lastPrinted>
  <dcterms:created xsi:type="dcterms:W3CDTF">2018-09-13T13:58:00Z</dcterms:created>
  <dcterms:modified xsi:type="dcterms:W3CDTF">2018-09-13T14:38:00Z</dcterms:modified>
</cp:coreProperties>
</file>